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ЗАКОНОДАТЕЛЬНОЕ СОБРАНИЕ СВЕРДЛОВСКОЙ ОБЛАСТИ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ПОСТАНОВЛЕНИЕ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от 3 декабря 2013 г. N 1317-ПЗС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О КОНКУРСЕ ПРЕДСТАВИТЕЛЬНЫХ ОРГАНОВ МУНИЦИПАЛЬНЫХ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ОБРАЗОВАНИЙ, РАСПОЛОЖЕННЫХ НА ТЕРРИТОРИИ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 xml:space="preserve">СВЕРДЛОВСКОЙ ОБЛАСТИ, </w:t>
      </w:r>
      <w:proofErr w:type="gramStart"/>
      <w:r w:rsidRPr="00210EA1">
        <w:rPr>
          <w:rFonts w:ascii="Arial" w:hAnsi="Arial" w:cs="Arial"/>
          <w:b/>
          <w:bCs/>
          <w:sz w:val="20"/>
          <w:szCs w:val="20"/>
        </w:rPr>
        <w:t>ПОСВЯЩЕННОМ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ДНЮ МЕСТНОГО САМОУПРАВЛЕНИЯ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921"/>
        <w:gridCol w:w="113"/>
      </w:tblGrid>
      <w:tr w:rsidR="00210EA1" w:rsidRPr="00210E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Список изменяющих документов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(в ред. Постановлений Законодательного Собрания Свердловской области</w:t>
            </w:r>
            <w:proofErr w:type="gram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16.12.2014 </w:t>
            </w:r>
            <w:hyperlink r:id="rId4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1925-ПЗС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13.12.2016 </w:t>
            </w:r>
            <w:hyperlink r:id="rId5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338-ПЗС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29.10.2019 </w:t>
            </w:r>
            <w:hyperlink r:id="rId6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2107-ПЗС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,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10.12.2019 </w:t>
            </w:r>
            <w:hyperlink r:id="rId7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2257-ПЗС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20.04.2021 </w:t>
            </w:r>
            <w:hyperlink r:id="rId8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3133-ПЗС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07.12.2021 </w:t>
            </w:r>
            <w:hyperlink r:id="rId9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219-ПЗС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,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22.02.2023 </w:t>
            </w:r>
            <w:hyperlink r:id="rId10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1045-ПЗС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19.12.2023 </w:t>
            </w:r>
            <w:hyperlink r:id="rId11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1621-ПЗС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Законодательное Собрание Свердловской области постановляет: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1. Утвердить </w:t>
      </w:r>
      <w:hyperlink w:anchor="Par32" w:history="1">
        <w:r w:rsidRPr="00210EA1">
          <w:rPr>
            <w:rFonts w:ascii="Arial" w:hAnsi="Arial" w:cs="Arial"/>
            <w:color w:val="0000FF"/>
            <w:sz w:val="20"/>
            <w:szCs w:val="20"/>
          </w:rPr>
          <w:t>Положение</w:t>
        </w:r>
      </w:hyperlink>
      <w:r w:rsidRPr="00210EA1">
        <w:rPr>
          <w:rFonts w:ascii="Arial" w:hAnsi="Arial" w:cs="Arial"/>
          <w:sz w:val="20"/>
          <w:szCs w:val="20"/>
        </w:rPr>
        <w:t xml:space="preserve"> о конкурсе представительных органов муниципальных образований, расположенных на территории Свердловской области, посвященном Дню местного самоуправления (прилагается).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2. Утвердить </w:t>
      </w:r>
      <w:hyperlink w:anchor="Par689" w:history="1">
        <w:r w:rsidRPr="00210EA1">
          <w:rPr>
            <w:rFonts w:ascii="Arial" w:hAnsi="Arial" w:cs="Arial"/>
            <w:color w:val="0000FF"/>
            <w:sz w:val="20"/>
            <w:szCs w:val="20"/>
          </w:rPr>
          <w:t>состав</w:t>
        </w:r>
      </w:hyperlink>
      <w:r w:rsidRPr="00210EA1">
        <w:rPr>
          <w:rFonts w:ascii="Arial" w:hAnsi="Arial" w:cs="Arial"/>
          <w:sz w:val="20"/>
          <w:szCs w:val="20"/>
        </w:rPr>
        <w:t xml:space="preserve"> организационного комитета по проведению конкурса представительных органов муниципальных образований, расположенных на территории Свердловской области, посвященного Дню местного самоуправления (прилагается).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Председатель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Законодательного Собрания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Л.В.БАБУШКИНА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Утверждено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Постановлением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Законодательного Собрания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от 3 декабря 2013 г. N 1317-ПЗС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bookmarkStart w:id="0" w:name="Par32"/>
      <w:bookmarkEnd w:id="0"/>
      <w:r w:rsidRPr="00210EA1">
        <w:rPr>
          <w:rFonts w:ascii="Arial" w:hAnsi="Arial" w:cs="Arial"/>
          <w:b/>
          <w:bCs/>
          <w:sz w:val="20"/>
          <w:szCs w:val="20"/>
        </w:rPr>
        <w:t>ПОЛОЖЕНИЕ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О КОНКУРСЕ ПРЕДСТАВИТЕЛЬНЫХ ОРГАНОВ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МУНИЦИПАЛЬНЫХ ОБРАЗОВАНИЙ, РАСПОЛОЖЕННЫХ НА ТЕРРИТОРИИ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 xml:space="preserve">СВЕРДЛОВСКОЙ ОБЛАСТИ, </w:t>
      </w:r>
      <w:proofErr w:type="gramStart"/>
      <w:r w:rsidRPr="00210EA1">
        <w:rPr>
          <w:rFonts w:ascii="Arial" w:hAnsi="Arial" w:cs="Arial"/>
          <w:b/>
          <w:bCs/>
          <w:sz w:val="20"/>
          <w:szCs w:val="20"/>
        </w:rPr>
        <w:t>ПОСВЯЩЕННОМ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ДНЮ МЕСТНОГО САМОУПРАВЛЕНИЯ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921"/>
        <w:gridCol w:w="113"/>
      </w:tblGrid>
      <w:tr w:rsidR="00210EA1" w:rsidRPr="00210E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Список изменяющих документов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(в ред. Постановлений Законодательного Собрания Свердловской области</w:t>
            </w:r>
            <w:proofErr w:type="gram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13.12.2016 </w:t>
            </w:r>
            <w:hyperlink r:id="rId12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338-ПЗС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29.10.2019 </w:t>
            </w:r>
            <w:hyperlink r:id="rId13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2107-ПЗС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10.12.2019 </w:t>
            </w:r>
            <w:hyperlink r:id="rId14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2257-ПЗС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,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20.04.2021 </w:t>
            </w:r>
            <w:hyperlink r:id="rId15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3133-ПЗС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19.12.2023 </w:t>
            </w:r>
            <w:hyperlink r:id="rId16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1621-ПЗС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Раздел 1. ОБЩИЕ ПОЛОЖЕНИЯ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1. Настоящее Положение определяет порядок и условия проведения конкурса представительных органов муниципальных образований, расположенных на территории Свердловской области, посвященного Дню местного самоуправления (далее - конкурс).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lastRenderedPageBreak/>
        <w:t>2. Решение о присуждении участникам конкурса призовых мест принимает организационный комитет по проведению конкурса, состав которого утверждается Постановлением Законодательного Собрания Свердловской области (далее - организационный комитет).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3. Финансирование расходов, связанных с проведением конкурса, осуществляется за счет средств областного бюджета, направляемых на обеспечение деятельности Законодательного Собрания Свердловской области (далее - Законодательное Собрание).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4. Организационно-техническое обеспечение конкурса осуществляет аппарат Законодательного Собрания.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Раздел 2. ЦЕЛЬ И ЗАДАЧИ КОНКУРСА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5. Цель конкурса - повышение роли представительных органов муниципальных образований, расположенных на территории Свердловской области (далее - представительные органы), в общественно-политической жизни Свердловской области.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6. Основными задачами конкурса являются: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1) выявление лучших представительных органов и лучших депутатов представительных органов по соответствующим номинациям;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2) определение муниципальных служащих, наиболее профессионально и эффективно обеспечивающих исполнение полномочий представительных органов;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3) стимулирование активности деятельности депутатов представительных органов и муниципальных служащих по обеспечению исполнения полномочий представительных органов.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Раздел 3. УСЛОВИЯ ПРОВЕДЕНИЯ КОНКУРСА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7. Конкурс проводится ежегодно. Заявки на участие в конкурсе и конкурсные работы принимаются в срок до 1 марта.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8. В конкурсе могут принимать участие: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1) представительные органы городских округов, муниципальных районов, городских и сельских поселений;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2) депутаты представительных органов городских округов, муниципальных районов, городских и сельских поселений;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3) муниципальные служащие, обеспечивающие исполнение полномочий представительных органов.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9. Конкурс среди представительных органов проводится по группам: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1) представительные органы городских округов, муниципальных районов с численностью населения свыше 40 тысяч человек;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2) представительные органы городских округов, муниципальных районов с численностью населения от 20 тысяч до 40 тысяч человек;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3) представительные органы городских округов, муниципальных районов с численностью населения до 20 тысяч человек;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4) представительные органы городских и сельских поселений;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(</w:t>
      </w:r>
      <w:proofErr w:type="spellStart"/>
      <w:r w:rsidRPr="00210EA1">
        <w:rPr>
          <w:rFonts w:ascii="Arial" w:hAnsi="Arial" w:cs="Arial"/>
          <w:sz w:val="20"/>
          <w:szCs w:val="20"/>
        </w:rPr>
        <w:t>подп</w:t>
      </w:r>
      <w:proofErr w:type="spellEnd"/>
      <w:r w:rsidRPr="00210EA1">
        <w:rPr>
          <w:rFonts w:ascii="Arial" w:hAnsi="Arial" w:cs="Arial"/>
          <w:sz w:val="20"/>
          <w:szCs w:val="20"/>
        </w:rPr>
        <w:t xml:space="preserve">. 4 в ред. </w:t>
      </w:r>
      <w:hyperlink r:id="rId17" w:history="1">
        <w:r w:rsidRPr="00210EA1">
          <w:rPr>
            <w:rFonts w:ascii="Arial" w:hAnsi="Arial" w:cs="Arial"/>
            <w:color w:val="0000FF"/>
            <w:sz w:val="20"/>
            <w:szCs w:val="20"/>
          </w:rPr>
          <w:t>Постановления</w:t>
        </w:r>
      </w:hyperlink>
      <w:r w:rsidRPr="00210EA1">
        <w:rPr>
          <w:rFonts w:ascii="Arial" w:hAnsi="Arial" w:cs="Arial"/>
          <w:sz w:val="20"/>
          <w:szCs w:val="20"/>
        </w:rPr>
        <w:t xml:space="preserve"> Законодательного Собрания Свердловской области от 13.12.2016 N 338-ПЗС)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5) утратил силу. - </w:t>
      </w:r>
      <w:hyperlink r:id="rId18" w:history="1">
        <w:r w:rsidRPr="00210EA1">
          <w:rPr>
            <w:rFonts w:ascii="Arial" w:hAnsi="Arial" w:cs="Arial"/>
            <w:color w:val="0000FF"/>
            <w:sz w:val="20"/>
            <w:szCs w:val="20"/>
          </w:rPr>
          <w:t>Постановление</w:t>
        </w:r>
      </w:hyperlink>
      <w:r w:rsidRPr="00210EA1">
        <w:rPr>
          <w:rFonts w:ascii="Arial" w:hAnsi="Arial" w:cs="Arial"/>
          <w:sz w:val="20"/>
          <w:szCs w:val="20"/>
        </w:rPr>
        <w:t xml:space="preserve"> Законодательного Собрания Свердловской области от 13.12.2016 N 338-ПЗС.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10. Итоги конкурса определяются по следующим номинациям: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lastRenderedPageBreak/>
        <w:t>1) "Лучший представительный орган в сфере правотворчества";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2) "Гласность и открытость представительного органа";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" w:name="Par74"/>
      <w:bookmarkEnd w:id="1"/>
      <w:r w:rsidRPr="00210EA1">
        <w:rPr>
          <w:rFonts w:ascii="Arial" w:hAnsi="Arial" w:cs="Arial"/>
          <w:sz w:val="20"/>
          <w:szCs w:val="20"/>
        </w:rPr>
        <w:t>3) "Лучший депутат представительного органа муниципального образования с численностью населения свыше 20 тысяч человек";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4) "Лучший депутат представительного органа муниципального образования с численностью населения до 20 тысяч человек";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" w:name="Par76"/>
      <w:bookmarkEnd w:id="2"/>
      <w:r w:rsidRPr="00210EA1">
        <w:rPr>
          <w:rFonts w:ascii="Arial" w:hAnsi="Arial" w:cs="Arial"/>
          <w:sz w:val="20"/>
          <w:szCs w:val="20"/>
        </w:rPr>
        <w:t>5) "Лучший муниципальный служащий, обеспечивающий исполнение полномочий представительного органа городского округа (муниципального района)";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" w:name="Par77"/>
      <w:bookmarkEnd w:id="3"/>
      <w:r w:rsidRPr="00210EA1">
        <w:rPr>
          <w:rFonts w:ascii="Arial" w:hAnsi="Arial" w:cs="Arial"/>
          <w:sz w:val="20"/>
          <w:szCs w:val="20"/>
        </w:rPr>
        <w:t>6) "Лучший муниципальный служащий, обеспечивающий исполнение полномочий представительного органа городского (сельского) поселения".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Раздел 4. КРИТЕРИИ ОЦЕНКИ ДЕЯТЕЛЬНОСТИ УЧАСТНИКОВ КОНКУРСА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11. Оценка деятельности представительных органов по номинации "Лучший представительный орган в сфере правотворчества" производится по следующим критериям: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1) полнота и эффективность организационно-правового обеспечения деятельности представительного органа (наличие документов, регламентирующих деятельность представительного органа, соответствующих федеральному и областному законодательству; наличие плана правотворческой и иной деятельности представительного органа; наличие перспективных и текущих планов работы, </w:t>
      </w:r>
      <w:proofErr w:type="gramStart"/>
      <w:r w:rsidRPr="00210EA1">
        <w:rPr>
          <w:rFonts w:ascii="Arial" w:hAnsi="Arial" w:cs="Arial"/>
          <w:sz w:val="20"/>
          <w:szCs w:val="20"/>
        </w:rPr>
        <w:t>контроль за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исполнением планов; периодичность проведения заседаний представительного органа; количество проведенных заседаний);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2) эффективность взаимодействия представительного органа с органами Прокуратуры Свердловской области по принятию муниципальных нормативных правовых актов (количество принятых муниципальных нормативных правовых актов в отчетном году; количество протестов и представлений прокурора в отношении муниципальных правовых актов, по </w:t>
      </w:r>
      <w:proofErr w:type="gramStart"/>
      <w:r w:rsidRPr="00210EA1">
        <w:rPr>
          <w:rFonts w:ascii="Arial" w:hAnsi="Arial" w:cs="Arial"/>
          <w:sz w:val="20"/>
          <w:szCs w:val="20"/>
        </w:rPr>
        <w:t>результатам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рассмотрения которых были внесены изменения в муниципальные правовые акты, в отчетном году; количество требований </w:t>
      </w:r>
      <w:proofErr w:type="gramStart"/>
      <w:r w:rsidRPr="00210EA1">
        <w:rPr>
          <w:rFonts w:ascii="Arial" w:hAnsi="Arial" w:cs="Arial"/>
          <w:sz w:val="20"/>
          <w:szCs w:val="20"/>
        </w:rPr>
        <w:t>прокурора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об устранении выявленных в муниципальных правовых актах </w:t>
      </w:r>
      <w:proofErr w:type="spellStart"/>
      <w:r w:rsidRPr="00210EA1">
        <w:rPr>
          <w:rFonts w:ascii="Arial" w:hAnsi="Arial" w:cs="Arial"/>
          <w:sz w:val="20"/>
          <w:szCs w:val="20"/>
        </w:rPr>
        <w:t>коррупциогенных</w:t>
      </w:r>
      <w:proofErr w:type="spellEnd"/>
      <w:r w:rsidRPr="00210EA1">
        <w:rPr>
          <w:rFonts w:ascii="Arial" w:hAnsi="Arial" w:cs="Arial"/>
          <w:sz w:val="20"/>
          <w:szCs w:val="20"/>
        </w:rPr>
        <w:t xml:space="preserve"> факторов в отчетном году; удельный вес муниципальных нормативных правовых актов, на которые внесены акты прокурорского реагирования, в общем количестве принятых муниципальных нормативных правовых актов в отчетном году);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>3) эффективность взаимодействия представительного органа с Главным управлением Министерства юстиции Российской Федерации по Свердловской области по внесению изменений в уставы муниципальных образований (далее - уставы) (количество принятых муниципальных правовых актов о внесении изменений в уставы (далее - изменения в уставы) в отчетном году, из них: количество изменений в уставы, направленных на приведение уставов в соответствие с требованиями действующего законодательства;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10EA1">
        <w:rPr>
          <w:rFonts w:ascii="Arial" w:hAnsi="Arial" w:cs="Arial"/>
          <w:sz w:val="20"/>
          <w:szCs w:val="20"/>
        </w:rPr>
        <w:t xml:space="preserve">количество изменений в уставы в отчетном году, в отношении которых Главным управлением Министерства юстиции Российской Федерации по Свердловской области приняты решения об отказе в регистрации; количество решений об отказе в регистрации изменений в уставы в отчетном году по каждому из оснований: противоречие </w:t>
      </w:r>
      <w:hyperlink r:id="rId19" w:history="1">
        <w:r w:rsidRPr="00210EA1">
          <w:rPr>
            <w:rFonts w:ascii="Arial" w:hAnsi="Arial" w:cs="Arial"/>
            <w:color w:val="0000FF"/>
            <w:sz w:val="20"/>
            <w:szCs w:val="20"/>
          </w:rPr>
          <w:t>Конституции</w:t>
        </w:r>
      </w:hyperlink>
      <w:r w:rsidRPr="00210EA1">
        <w:rPr>
          <w:rFonts w:ascii="Arial" w:hAnsi="Arial" w:cs="Arial"/>
          <w:sz w:val="20"/>
          <w:szCs w:val="20"/>
        </w:rPr>
        <w:t xml:space="preserve"> Российской Федерации, федеральным законам, </w:t>
      </w:r>
      <w:hyperlink r:id="rId20" w:history="1">
        <w:r w:rsidRPr="00210EA1">
          <w:rPr>
            <w:rFonts w:ascii="Arial" w:hAnsi="Arial" w:cs="Arial"/>
            <w:color w:val="0000FF"/>
            <w:sz w:val="20"/>
            <w:szCs w:val="20"/>
          </w:rPr>
          <w:t>Уставу</w:t>
        </w:r>
      </w:hyperlink>
      <w:r w:rsidRPr="00210EA1">
        <w:rPr>
          <w:rFonts w:ascii="Arial" w:hAnsi="Arial" w:cs="Arial"/>
          <w:sz w:val="20"/>
          <w:szCs w:val="20"/>
        </w:rPr>
        <w:t xml:space="preserve"> Свердловской области, законам Свердловской области;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нарушение установленного в соответствии с федеральным законом порядка принятия указанных муниципальных нормативных правовых актов; наличие </w:t>
      </w:r>
      <w:proofErr w:type="spellStart"/>
      <w:r w:rsidRPr="00210EA1">
        <w:rPr>
          <w:rFonts w:ascii="Arial" w:hAnsi="Arial" w:cs="Arial"/>
          <w:sz w:val="20"/>
          <w:szCs w:val="20"/>
        </w:rPr>
        <w:t>коррупциогенных</w:t>
      </w:r>
      <w:proofErr w:type="spellEnd"/>
      <w:r w:rsidRPr="00210EA1">
        <w:rPr>
          <w:rFonts w:ascii="Arial" w:hAnsi="Arial" w:cs="Arial"/>
          <w:sz w:val="20"/>
          <w:szCs w:val="20"/>
        </w:rPr>
        <w:t xml:space="preserve"> факторов; удельный вес изменений в уставы в отчетном году, в отношении которых Главным управлением Министерства юстиции Российской Федерации по Свердловской области приняты решения об отказе в регистрации, в общем количестве изменений в уставы);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 xml:space="preserve">4) эффективность взаимодействия представительного органа с Правительством Свердловской области в ходе реализации </w:t>
      </w:r>
      <w:hyperlink r:id="rId21" w:history="1">
        <w:r w:rsidRPr="00210EA1"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 w:rsidRPr="00210EA1">
        <w:rPr>
          <w:rFonts w:ascii="Arial" w:hAnsi="Arial" w:cs="Arial"/>
          <w:sz w:val="20"/>
          <w:szCs w:val="20"/>
        </w:rPr>
        <w:t xml:space="preserve"> Свердловской области "Об организации и ведении Свердловского областного регистра муниципальных нормативных правовых актов" по выявлению в муниципальных нормативных правовых актах противоречий федеральному и областному законодательству (количество муниципальных нормативных правовых актов, на которые поступили экспертные заключения Правительства Свердловской области с указанием на наличие противоречий федеральному и областному законодательству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, в отчетном году; удельный вес муниципальных нормативных правовых актов, на которые поступили экспертные заключения с указанием на наличие противоречий федеральному и областному </w:t>
      </w:r>
      <w:r w:rsidRPr="00210EA1">
        <w:rPr>
          <w:rFonts w:ascii="Arial" w:hAnsi="Arial" w:cs="Arial"/>
          <w:sz w:val="20"/>
          <w:szCs w:val="20"/>
        </w:rPr>
        <w:lastRenderedPageBreak/>
        <w:t>законодательству, в общем количестве принятых муниципальных нормативных правовых актов в отчетном году);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5) эффективность взаимодействия представительного органа с Законодательным Собранием по внесению проектов законов Свердловской области в порядке законодательной инициативы (количество проектов законов Свердловской области, внесенных в Законодательное Собрание в отчетном году, в том числе: количество законодательных предложений, количество законопроектов; количество принятых законов Свердловской области в отчетном году; удельный вес принятых законов Свердловской области в общем количестве проектов законов Свердловской области, внесенных в Законодательное Собрание в отчетном году);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6) эффективность взаимодействия представительного органа с федеральными судами по признанию муниципальных нормативных правовых актов недействующими полностью или в части (количество вступивших в законную силу решений судов о признании муниципальных нормативных правовых актов, принятых в отчетном году, не действующими полностью или в части; удельный вес муниципальных нормативных правовых актов, в отношении которых вступили в законную силу решения судов о признании муниципальных нормативных правовых актов не действующими полностью или в части, в общем количестве принятых муниципальных нормативных правовых актов в отчетном году).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12. Оценка деятельности представительных органов по номинации "Гласность и открытость представительного органа" производится по следующим критериям: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 xml:space="preserve">1) выполнение представительным органом требований Федерального </w:t>
      </w:r>
      <w:hyperlink r:id="rId22" w:history="1">
        <w:r w:rsidRPr="00210EA1"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 w:rsidRPr="00210EA1">
        <w:rPr>
          <w:rFonts w:ascii="Arial" w:hAnsi="Arial" w:cs="Arial"/>
          <w:sz w:val="20"/>
          <w:szCs w:val="20"/>
        </w:rPr>
        <w:t xml:space="preserve"> "Об обеспечении доступа к информации о деятельности государственных органов и органов местного самоуправления" (наличие решений представительного органа о назначении лиц, уполномоченных на предоставление информации о деятельности, о порядке приема граждан и рассмотрении их запросов, о порядке ознакомления пользователей с информацией о деятельности представительного органа в помещениях органов местного самоуправления, о перечне информации о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10EA1">
        <w:rPr>
          <w:rFonts w:ascii="Arial" w:hAnsi="Arial" w:cs="Arial"/>
          <w:sz w:val="20"/>
          <w:szCs w:val="20"/>
        </w:rPr>
        <w:t>деятельности представительного органа, размещаемой в информационно-телекоммуникационной сети "Интернет", периодичности ее размещения и сроках обновления, о перечне информации, предоставляемой на бесплатной основе; наличие пунктов подключения к информационно-телекоммуникационной сети "Интернет" в целях обеспечения права неограниченного круга лиц на ознакомление с информацией о деятельности представительного органа в помещениях органов местного самоуправления, муниципальных библиотеках, других доступных для посещения местах);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2) освещение деятельности представительного органа, его депутатов в информационно-телекоммуникационной сети "Интернет" (наличие официального сайта, или раздела на официальном сайте администрации муниципального образования, или информации на официальном портале Свердловской области; регулярность освещения деятельности участника на официальном сайте (в разделе); наличие обратной связи с населением на сайте (в разделе));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>3) освещение деятельности представительного органа, его депутатов в средствах массовой информации (далее - СМИ) (является ли представительный орган учредителем (соучредителем) муниципальных СМИ; имеется ли соглашение с информационными агентствами по освещению деятельности представительного органа, его депутатов; регулярность освещения деятельности представительного органа, его депутатов в СМИ; количество изданных публикаций; наличие в местных печатных изданиях обратной связи с населением;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открытость деятельности представительного органа в электронных СМИ);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4) открытость деятельности представительного органа для населения (наличие общественных советов в муниципальном образовании и взаимодействие с ними; влияние общественности на принятие решений представительным органом; практика проведения отчетов перед населением; наличие общественной приемной; механизм работы по реализации замечаний и предложений граждан; проведение СМИ мероприятий с участием представительного органа; наличие системы регулярного мониторинга общественного мнения: количество опросов, проведенных в отчетном году, число опрошенных и тематика проводимых опросов; другие инструменты, применяемые в работе по повышению открытости деятельности представительного органа).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13. Оценка деятельности депутатов представительных органов производится по следующим критериям: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lastRenderedPageBreak/>
        <w:t>1) эффективность правотворческой деятельности (посещаемость заседаний представительного органа; посещаемость заседаний комитета (комиссии), в состав которого (которой) входит депутат; работа в составе депутатского объединения; выступления на заседаниях по вопросам повестки дня; выступления на заседаниях комитета (комиссии), в состав которого (которой) входит депутат; количество правотворческих инициатив; количество обращений, подготовленных и направленных в органы государственной власти и органы местного самоуправления;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повышение правовой и профессиональной подготовки депутата; наличие наград и поощрений);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>2) организация работы с избирателями (наличие графика приема избирателей; количество обращений избирателей; количество обращений, по которым принято положительное решение; количество обращений, ставших предметом правотворческой инициативы; периодичность отчетов; количество проведенных встреч и их регулярность; информированность избирателей о месте и времени проведения встреч; доведение депутатом до избирателей своей позиции по важнейшим вопросам повестки заседания;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наличие предвыборной программы; выполнение предвыборных обещаний; переизбрание депутата на второй срок; главные достижения депутата в период его депутатской деятельности);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3) </w:t>
      </w:r>
      <w:proofErr w:type="spellStart"/>
      <w:r w:rsidRPr="00210EA1">
        <w:rPr>
          <w:rFonts w:ascii="Arial" w:hAnsi="Arial" w:cs="Arial"/>
          <w:sz w:val="20"/>
          <w:szCs w:val="20"/>
        </w:rPr>
        <w:t>представленность</w:t>
      </w:r>
      <w:proofErr w:type="spellEnd"/>
      <w:r w:rsidRPr="00210EA1">
        <w:rPr>
          <w:rFonts w:ascii="Arial" w:hAnsi="Arial" w:cs="Arial"/>
          <w:sz w:val="20"/>
          <w:szCs w:val="20"/>
        </w:rPr>
        <w:t xml:space="preserve"> в СМИ (количество сообщений о деятельности депутата; количество публикаций депутата; известность среди избирателей (результаты опросов и социологических исследований); отзывы граждан о деятельности депутата; иная информация).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14. Оценка деятельности муниципальных служащих, обеспечивающих исполнение полномочий представительных органов, производится по следующим критериям: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1) стремление к профессиональному развитию (наличие высшего образования; наличие двух и более высших образований; наличие публикаций по проблемам местного самоуправления или по вопросам, решение которых входит в компетенцию участника; уровень владения информационными технологиями);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2) повышение уровня профессиональных знаний в течение трех лет, предшествующих участию в конкурсе (участие в семинарах по направлению деятельности; прохождение стажировки; обучение на курсах повышения квалификации; прохождение аттестации; наличие классного чина муниципальной службы);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3) личный вклад в процесс реализации представительным органом возложенных на него задач и функций (основные функции и обязанности участника; реализованные проекты с учетом их объема и сложности; перечень координационных, консультативных, совещательных и иных рабочих органов, в которых участник принимал участие; предложения участника по совершенствованию деятельности представительного органа);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>4) количественные и качественные показатели эффективности и результативности профессиональной служебной деятельности (количество самостоятельно подготовленных проектов муниципальных правовых актов, заключений, иных документов; перечень основных вопросов (документов), в решении (разработке) которых участник принимал участие; количество своевременно рассмотренных в пределах своих должностных обязанностей обращений граждан, организаций, органов власти и подготовленных на них ответов в установленном законодательством порядке;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количество мероприятий, организованных участником в рамках осуществления своих полномочий; отзывы руководителей, граждан, организаций о деятельности участника; наличие наград, почетных званий; основные достижения участника).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15. Для оценки деятельности участников конкурса по критериям используется пятибалльная шкала.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Раздел 5. ПОРЯДОК ПОДАЧИ ЗАЯВОК НА УЧАСТИЕ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В КОНКУРСЕ И ТРЕБОВАНИЯ К КОНКУРСНЫМ РАБОТАМ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16. Заявки на участие в конкурсе оформляются в соответствии с </w:t>
      </w:r>
      <w:hyperlink w:anchor="Par149" w:history="1">
        <w:r w:rsidRPr="00210EA1">
          <w:rPr>
            <w:rFonts w:ascii="Arial" w:hAnsi="Arial" w:cs="Arial"/>
            <w:color w:val="0000FF"/>
            <w:sz w:val="20"/>
            <w:szCs w:val="20"/>
          </w:rPr>
          <w:t>приложением 1</w:t>
        </w:r>
      </w:hyperlink>
      <w:r w:rsidRPr="00210EA1">
        <w:rPr>
          <w:rFonts w:ascii="Arial" w:hAnsi="Arial" w:cs="Arial"/>
          <w:sz w:val="20"/>
          <w:szCs w:val="20"/>
        </w:rPr>
        <w:t xml:space="preserve"> к настоящему Положению и направляются председателю Законодательного Собрания по адресу: 620031, г. Екатеринбург, ул. Бориса Ельцина, 10. Справки по телефонам: 354-75-83, 354-75-87.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(в ред. Постановлений Законодательного Собрания Свердловской области от 20.04.2021 </w:t>
      </w:r>
      <w:hyperlink r:id="rId23" w:history="1">
        <w:r w:rsidRPr="00210EA1">
          <w:rPr>
            <w:rFonts w:ascii="Arial" w:hAnsi="Arial" w:cs="Arial"/>
            <w:color w:val="0000FF"/>
            <w:sz w:val="20"/>
            <w:szCs w:val="20"/>
          </w:rPr>
          <w:t>N 3133-ПЗС</w:t>
        </w:r>
      </w:hyperlink>
      <w:r w:rsidRPr="00210EA1">
        <w:rPr>
          <w:rFonts w:ascii="Arial" w:hAnsi="Arial" w:cs="Arial"/>
          <w:sz w:val="20"/>
          <w:szCs w:val="20"/>
        </w:rPr>
        <w:t xml:space="preserve">, от 19.12.2023 </w:t>
      </w:r>
      <w:hyperlink r:id="rId24" w:history="1">
        <w:r w:rsidRPr="00210EA1">
          <w:rPr>
            <w:rFonts w:ascii="Arial" w:hAnsi="Arial" w:cs="Arial"/>
            <w:color w:val="0000FF"/>
            <w:sz w:val="20"/>
            <w:szCs w:val="20"/>
          </w:rPr>
          <w:t>N 1621-ПЗС</w:t>
        </w:r>
      </w:hyperlink>
      <w:r w:rsidRPr="00210EA1">
        <w:rPr>
          <w:rFonts w:ascii="Arial" w:hAnsi="Arial" w:cs="Arial"/>
          <w:sz w:val="20"/>
          <w:szCs w:val="20"/>
        </w:rPr>
        <w:t>)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" w:name="Par109"/>
      <w:bookmarkEnd w:id="4"/>
      <w:r w:rsidRPr="00210EA1">
        <w:rPr>
          <w:rFonts w:ascii="Arial" w:hAnsi="Arial" w:cs="Arial"/>
          <w:sz w:val="20"/>
          <w:szCs w:val="20"/>
        </w:rPr>
        <w:t>17. К заявке на участие в конкурсе прилагаются: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lastRenderedPageBreak/>
        <w:t>1) решение представительного органа о его участии в конкурсе, о выдвижении депутатов представительного органа и муниципальных служащих, обеспечивающих исполнение полномочий представительного органа, в качестве участников конкурса;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2) информационная карта участника конкурса, оформленная в соответствии с </w:t>
      </w:r>
      <w:hyperlink w:anchor="Par187" w:history="1">
        <w:r w:rsidRPr="00210EA1">
          <w:rPr>
            <w:rFonts w:ascii="Arial" w:hAnsi="Arial" w:cs="Arial"/>
            <w:color w:val="0000FF"/>
            <w:sz w:val="20"/>
            <w:szCs w:val="20"/>
          </w:rPr>
          <w:t>приложением 2</w:t>
        </w:r>
      </w:hyperlink>
      <w:r w:rsidRPr="00210EA1">
        <w:rPr>
          <w:rFonts w:ascii="Arial" w:hAnsi="Arial" w:cs="Arial"/>
          <w:sz w:val="20"/>
          <w:szCs w:val="20"/>
        </w:rPr>
        <w:t xml:space="preserve"> к настоящему Положению.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18. По номинациям, указанным в </w:t>
      </w:r>
      <w:hyperlink w:anchor="Par74" w:history="1">
        <w:r w:rsidRPr="00210EA1">
          <w:rPr>
            <w:rFonts w:ascii="Arial" w:hAnsi="Arial" w:cs="Arial"/>
            <w:color w:val="0000FF"/>
            <w:sz w:val="20"/>
            <w:szCs w:val="20"/>
          </w:rPr>
          <w:t>подпунктах 3</w:t>
        </w:r>
      </w:hyperlink>
      <w:r w:rsidRPr="00210EA1">
        <w:rPr>
          <w:rFonts w:ascii="Arial" w:hAnsi="Arial" w:cs="Arial"/>
          <w:sz w:val="20"/>
          <w:szCs w:val="20"/>
        </w:rPr>
        <w:t xml:space="preserve"> - </w:t>
      </w:r>
      <w:hyperlink w:anchor="Par77" w:history="1">
        <w:r w:rsidRPr="00210EA1">
          <w:rPr>
            <w:rFonts w:ascii="Arial" w:hAnsi="Arial" w:cs="Arial"/>
            <w:color w:val="0000FF"/>
            <w:sz w:val="20"/>
            <w:szCs w:val="20"/>
          </w:rPr>
          <w:t>6 пункта 10 раздела 3</w:t>
        </w:r>
      </w:hyperlink>
      <w:r w:rsidRPr="00210EA1">
        <w:rPr>
          <w:rFonts w:ascii="Arial" w:hAnsi="Arial" w:cs="Arial"/>
          <w:sz w:val="20"/>
          <w:szCs w:val="20"/>
        </w:rPr>
        <w:t xml:space="preserve"> настоящего Положения, представительный орган вправе выдвинуть не более одного участника конкурса.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Решение представительного органа о выдвижении участников конкурса в номинациях, указанных в </w:t>
      </w:r>
      <w:hyperlink w:anchor="Par76" w:history="1">
        <w:r w:rsidRPr="00210EA1">
          <w:rPr>
            <w:rFonts w:ascii="Arial" w:hAnsi="Arial" w:cs="Arial"/>
            <w:color w:val="0000FF"/>
            <w:sz w:val="20"/>
            <w:szCs w:val="20"/>
          </w:rPr>
          <w:t>подпунктах 5</w:t>
        </w:r>
      </w:hyperlink>
      <w:r w:rsidRPr="00210EA1">
        <w:rPr>
          <w:rFonts w:ascii="Arial" w:hAnsi="Arial" w:cs="Arial"/>
          <w:sz w:val="20"/>
          <w:szCs w:val="20"/>
        </w:rPr>
        <w:t xml:space="preserve"> - </w:t>
      </w:r>
      <w:hyperlink w:anchor="Par77" w:history="1">
        <w:r w:rsidRPr="00210EA1">
          <w:rPr>
            <w:rFonts w:ascii="Arial" w:hAnsi="Arial" w:cs="Arial"/>
            <w:color w:val="0000FF"/>
            <w:sz w:val="20"/>
            <w:szCs w:val="20"/>
          </w:rPr>
          <w:t>6 пункта 10 раздела 3</w:t>
        </w:r>
      </w:hyperlink>
      <w:r w:rsidRPr="00210EA1">
        <w:rPr>
          <w:rFonts w:ascii="Arial" w:hAnsi="Arial" w:cs="Arial"/>
          <w:sz w:val="20"/>
          <w:szCs w:val="20"/>
        </w:rPr>
        <w:t xml:space="preserve"> настоящего Положения, принимается по представлению председателя представительного органа или главы муниципального образования, исполняющего полномочия председателя представительного органа.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Количество номинаций, по которым представительным органом принимается решение об участии в конкурсе, не ограничивается.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19. В случае необходимости организационным комитетом может быть запрошена дополнительная информация.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20. Документы, указанные в </w:t>
      </w:r>
      <w:hyperlink w:anchor="Par109" w:history="1">
        <w:r w:rsidRPr="00210EA1">
          <w:rPr>
            <w:rFonts w:ascii="Arial" w:hAnsi="Arial" w:cs="Arial"/>
            <w:color w:val="0000FF"/>
            <w:sz w:val="20"/>
            <w:szCs w:val="20"/>
          </w:rPr>
          <w:t>пункте 17</w:t>
        </w:r>
      </w:hyperlink>
      <w:r w:rsidRPr="00210EA1">
        <w:rPr>
          <w:rFonts w:ascii="Arial" w:hAnsi="Arial" w:cs="Arial"/>
          <w:sz w:val="20"/>
          <w:szCs w:val="20"/>
        </w:rPr>
        <w:t xml:space="preserve"> настоящего раздела, представляются на конкурс на бумажных и электронных носителях.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21. В качестве приложения к документам, указанным в </w:t>
      </w:r>
      <w:hyperlink w:anchor="Par109" w:history="1">
        <w:r w:rsidRPr="00210EA1">
          <w:rPr>
            <w:rFonts w:ascii="Arial" w:hAnsi="Arial" w:cs="Arial"/>
            <w:color w:val="0000FF"/>
            <w:sz w:val="20"/>
            <w:szCs w:val="20"/>
          </w:rPr>
          <w:t>пункте 17</w:t>
        </w:r>
      </w:hyperlink>
      <w:r w:rsidRPr="00210EA1">
        <w:rPr>
          <w:rFonts w:ascii="Arial" w:hAnsi="Arial" w:cs="Arial"/>
          <w:sz w:val="20"/>
          <w:szCs w:val="20"/>
        </w:rPr>
        <w:t xml:space="preserve"> настоящего раздела, могут быть представлены дополнительные материалы в виде схем, таблиц, методических материалов, фотографий, аудио- и видеоматериалов и т.п.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Раздел 6. ПОРЯДОК РАССМОТРЕНИЯ ЗАЯВОК НА УЧАСТИЕ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В КОНКУРСЕ И ПОДВЕДЕНИЯ ИТОГОВ КОНКУРСА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22. В случае если в заявке на участие в конкурсе не указаны какие-либо сведения, либо указаны недостоверные сведения, либо к заявке не приложены материалы, указанные в </w:t>
      </w:r>
      <w:hyperlink w:anchor="Par109" w:history="1">
        <w:r w:rsidRPr="00210EA1">
          <w:rPr>
            <w:rFonts w:ascii="Arial" w:hAnsi="Arial" w:cs="Arial"/>
            <w:color w:val="0000FF"/>
            <w:sz w:val="20"/>
            <w:szCs w:val="20"/>
          </w:rPr>
          <w:t>пункте 17 раздела 5</w:t>
        </w:r>
      </w:hyperlink>
      <w:r w:rsidRPr="00210EA1">
        <w:rPr>
          <w:rFonts w:ascii="Arial" w:hAnsi="Arial" w:cs="Arial"/>
          <w:sz w:val="20"/>
          <w:szCs w:val="20"/>
        </w:rPr>
        <w:t xml:space="preserve"> настоящего Положения, внесенные материалы возвращаются председателем организационного комитета внесшему их представительному органу. После устранения причин, послуживших возвращению заявки на участие в конкурсе, заявка может быть вновь принята к рассмотрению.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23. Рассмотрение заявок на участие в конкурсе, конкурсных работ и иных документов, их оценка, подведение итогов, а также определение победителей конкурса осуществляет организационный комитет. В случае необходимости члены организационного комитета могут выезжать в муниципальные образования.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Порядок работы организационного комитета определяется им самостоятельно. Руководство организационным комитетом осуществляет председатель организационного комитета, а в случае его отсутствия - заместитель председателя организационного комитета.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24. Решения организационного комитета принимаются большинством голосов от числа его членов, присутствующих на заседании организационного комитета.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25. Победителями конкурса признаются участники, набравшие наибольшее количество баллов.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(п. 25 в ред. </w:t>
      </w:r>
      <w:hyperlink r:id="rId25" w:history="1">
        <w:r w:rsidRPr="00210EA1">
          <w:rPr>
            <w:rFonts w:ascii="Arial" w:hAnsi="Arial" w:cs="Arial"/>
            <w:color w:val="0000FF"/>
            <w:sz w:val="20"/>
            <w:szCs w:val="20"/>
          </w:rPr>
          <w:t>Постановления</w:t>
        </w:r>
      </w:hyperlink>
      <w:r w:rsidRPr="00210EA1">
        <w:rPr>
          <w:rFonts w:ascii="Arial" w:hAnsi="Arial" w:cs="Arial"/>
          <w:sz w:val="20"/>
          <w:szCs w:val="20"/>
        </w:rPr>
        <w:t xml:space="preserve"> Законодательного Собрания Свердловской области от 10.12.2019 N 2257-ПЗС)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26. Победители конкурса награждаются ценными призами. Участникам конкурса вручаются памятные дипломы.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Организационный комитет вправе присуждать участникам конкурса поощрительные призы.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Награждение победителей конкурса и вручение памятных дипломов участникам конкурса производится в торжественной обстановке.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 xml:space="preserve">(п. 26 в ред. </w:t>
      </w:r>
      <w:hyperlink r:id="rId26" w:history="1">
        <w:r w:rsidRPr="00210EA1">
          <w:rPr>
            <w:rFonts w:ascii="Arial" w:hAnsi="Arial" w:cs="Arial"/>
            <w:color w:val="0000FF"/>
            <w:sz w:val="20"/>
            <w:szCs w:val="20"/>
          </w:rPr>
          <w:t>Постановления</w:t>
        </w:r>
      </w:hyperlink>
      <w:r w:rsidRPr="00210EA1">
        <w:rPr>
          <w:rFonts w:ascii="Arial" w:hAnsi="Arial" w:cs="Arial"/>
          <w:sz w:val="20"/>
          <w:szCs w:val="20"/>
        </w:rPr>
        <w:t xml:space="preserve"> Законодательного Собрания Свердловской области от 10.12.2019 N 2257-ПЗС)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26-1. Итоги конкурса утверждаются распоряжением председателя Законодательного Собрания.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lastRenderedPageBreak/>
        <w:t>(</w:t>
      </w:r>
      <w:proofErr w:type="gramStart"/>
      <w:r w:rsidRPr="00210EA1">
        <w:rPr>
          <w:rFonts w:ascii="Arial" w:hAnsi="Arial" w:cs="Arial"/>
          <w:sz w:val="20"/>
          <w:szCs w:val="20"/>
        </w:rPr>
        <w:t>п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. 26-1 введен </w:t>
      </w:r>
      <w:hyperlink r:id="rId27" w:history="1">
        <w:r w:rsidRPr="00210EA1">
          <w:rPr>
            <w:rFonts w:ascii="Arial" w:hAnsi="Arial" w:cs="Arial"/>
            <w:color w:val="0000FF"/>
            <w:sz w:val="20"/>
            <w:szCs w:val="20"/>
          </w:rPr>
          <w:t>Постановлением</w:t>
        </w:r>
      </w:hyperlink>
      <w:r w:rsidRPr="00210EA1">
        <w:rPr>
          <w:rFonts w:ascii="Arial" w:hAnsi="Arial" w:cs="Arial"/>
          <w:sz w:val="20"/>
          <w:szCs w:val="20"/>
        </w:rPr>
        <w:t xml:space="preserve"> Законодательного Собрания Свердловской области от 13.12.2016 N 338-ПЗС)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27. Итоги конкурса размещаются на официальном сайте Законодательного Собрания в информационно-телекоммуникационной сети "Интернет".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28. Документы, представленные на конкурс, не возвращаются.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Приложение 1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к Положению о конкурсе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представительных органов муниципальных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образований, расположенных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на территории Свердловской области,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>посвященном Дню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местного самоуправления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bookmarkStart w:id="5" w:name="Par149"/>
      <w:bookmarkEnd w:id="5"/>
      <w:r w:rsidRPr="00210EA1">
        <w:rPr>
          <w:rFonts w:ascii="Courier New" w:hAnsi="Courier New" w:cs="Courier New"/>
          <w:sz w:val="20"/>
          <w:szCs w:val="20"/>
        </w:rPr>
        <w:t xml:space="preserve">                                  ЗАЯВКА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НА УЧАСТИЕ В КОНКУРСЕ ПРЕДСТАВИТЕЛЬНЫХ ОРГАНОВ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МУНИЦИПАЛЬНЫХ ОБРАЗОВАНИЙ, РАСПОЛОЖЕННЫХ НА ТЕРРИТОРИИ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СВЕРДЛОВСКОЙ ОБЛАСТИ, </w:t>
      </w:r>
      <w:proofErr w:type="gramStart"/>
      <w:r w:rsidRPr="00210EA1">
        <w:rPr>
          <w:rFonts w:ascii="Courier New" w:hAnsi="Courier New" w:cs="Courier New"/>
          <w:sz w:val="20"/>
          <w:szCs w:val="20"/>
        </w:rPr>
        <w:t>ПОСВЯЩЕННОМ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ДНЮ МЕСТНОГО САМОУПРАВЛЕНИЯ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(наименование представительного органа)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заявляет  о  своем намерении  принять участие  в  конкурсе </w:t>
      </w:r>
      <w:proofErr w:type="gramStart"/>
      <w:r w:rsidRPr="00210EA1">
        <w:rPr>
          <w:rFonts w:ascii="Courier New" w:hAnsi="Courier New" w:cs="Courier New"/>
          <w:sz w:val="20"/>
          <w:szCs w:val="20"/>
        </w:rPr>
        <w:t>представительных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органов    муниципальных    образований,   расположенных    на   территории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Свердловской области, посвященном Дню местного самоуправления, по номинации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</w:t>
      </w:r>
      <w:proofErr w:type="gramStart"/>
      <w:r w:rsidRPr="00210EA1">
        <w:rPr>
          <w:rFonts w:ascii="Courier New" w:hAnsi="Courier New" w:cs="Courier New"/>
          <w:sz w:val="20"/>
          <w:szCs w:val="20"/>
        </w:rPr>
        <w:t>(указывается одна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 из возможных номинаций)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Выдвигаем в качестве участника конкурса _______________________________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                   </w:t>
      </w:r>
      <w:proofErr w:type="gramStart"/>
      <w:r w:rsidRPr="00210EA1">
        <w:rPr>
          <w:rFonts w:ascii="Courier New" w:hAnsi="Courier New" w:cs="Courier New"/>
          <w:sz w:val="20"/>
          <w:szCs w:val="20"/>
        </w:rPr>
        <w:t>(наименование представительного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органа, либо Ф.И.О. депутата представительного органа, либо Ф.И.О.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муниципального служащего)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В  соответствии с </w:t>
      </w:r>
      <w:hyperlink w:anchor="Par109" w:history="1">
        <w:r w:rsidRPr="00210EA1">
          <w:rPr>
            <w:rFonts w:ascii="Courier New" w:hAnsi="Courier New" w:cs="Courier New"/>
            <w:color w:val="0000FF"/>
            <w:sz w:val="20"/>
            <w:szCs w:val="20"/>
          </w:rPr>
          <w:t>пунктом 17 раздела 5</w:t>
        </w:r>
      </w:hyperlink>
      <w:r w:rsidRPr="00210EA1">
        <w:rPr>
          <w:rFonts w:ascii="Courier New" w:hAnsi="Courier New" w:cs="Courier New"/>
          <w:sz w:val="20"/>
          <w:szCs w:val="20"/>
        </w:rPr>
        <w:t xml:space="preserve"> Положения о конкурсе к заявке </w:t>
      </w:r>
      <w:proofErr w:type="gramStart"/>
      <w:r w:rsidRPr="00210EA1">
        <w:rPr>
          <w:rFonts w:ascii="Courier New" w:hAnsi="Courier New" w:cs="Courier New"/>
          <w:sz w:val="20"/>
          <w:szCs w:val="20"/>
        </w:rPr>
        <w:t>на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участие в конкурсе прилагаются следующие документы: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1) ___________________________________________________________________;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(решение представительного органа об участии в конкурсе)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2) информационная карта участника конкурса;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3) ___________________________________________________________________.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  (иные документы и материалы)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"__" ____________ ____ года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Председатель                  ___________________    ______________________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>представительного органа           (подпись)               (Ф.И.О.)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Arial" w:hAnsi="Arial" w:cs="Arial"/>
          <w:sz w:val="20"/>
          <w:szCs w:val="20"/>
        </w:rPr>
      </w:pPr>
      <w:bookmarkStart w:id="6" w:name="Par187"/>
      <w:bookmarkEnd w:id="6"/>
      <w:r w:rsidRPr="00210EA1">
        <w:rPr>
          <w:rFonts w:ascii="Arial" w:hAnsi="Arial" w:cs="Arial"/>
          <w:sz w:val="20"/>
          <w:szCs w:val="20"/>
        </w:rPr>
        <w:t>Приложение 2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к Положению о конкурсе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представительных органов муниципальных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lastRenderedPageBreak/>
        <w:t>образований, расположенных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на территории Свердловской области,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proofErr w:type="gramStart"/>
      <w:r w:rsidRPr="00210EA1">
        <w:rPr>
          <w:rFonts w:ascii="Arial" w:hAnsi="Arial" w:cs="Arial"/>
          <w:sz w:val="20"/>
          <w:szCs w:val="20"/>
        </w:rPr>
        <w:t>посвященном Дню</w:t>
      </w:r>
      <w:proofErr w:type="gramEnd"/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местного самоуправления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ИНФОРМАЦИОННАЯ КАРТА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УЧАСТНИКА КОНКУРСА В НОМИНАЦИИ "</w:t>
      </w:r>
      <w:proofErr w:type="gramStart"/>
      <w:r w:rsidRPr="00210EA1">
        <w:rPr>
          <w:rFonts w:ascii="Arial" w:hAnsi="Arial" w:cs="Arial"/>
          <w:sz w:val="20"/>
          <w:szCs w:val="20"/>
        </w:rPr>
        <w:t>ЛУЧШИЙ</w:t>
      </w:r>
      <w:proofErr w:type="gramEnd"/>
      <w:r w:rsidRPr="00210EA1">
        <w:rPr>
          <w:rFonts w:ascii="Arial" w:hAnsi="Arial" w:cs="Arial"/>
          <w:sz w:val="20"/>
          <w:szCs w:val="20"/>
        </w:rPr>
        <w:t xml:space="preserve"> ПРЕДСТАВИТЕЛЬНЫЙ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ОРГАН В СФЕРЕ ПРАВОТВОРЧЕСТВА"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6520"/>
        <w:gridCol w:w="1701"/>
      </w:tblGrid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Номер строки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Показатели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Информация об участнике конкурса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Численность населения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представительного органа муниципального образования (далее - Дума)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Адрес сайта Думы в информационно-телекоммуникационной сети "Интернет"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Период полномочий действующего состава Думы (год избрания, год следующих выборов)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депутатов в Думе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работающих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 xml:space="preserve"> на постоянной основе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повторно избранных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Правовая база, регламентирующая деятельность Думы (наименование и дата принятия):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устав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регламент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положения о постоянных органах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положения о фракциях политических партий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иные правовые акты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Постоянные органы, образованные в Думе (количество, наименования)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Фракции политических партий в Думе (количество, наименования)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Планы работы Думы (наименования, даты принятия)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Периодичность проведения заседаний Думы, количество проведенных заседаний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принятых муниципальных нормативных правовых актов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lastRenderedPageBreak/>
              <w:t>21.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Количество протестов и представлений прокурора в отношении муниципальных правовых актов, по </w:t>
            </w: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результатам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 xml:space="preserve"> рассмотрения которых были внесены изменения в муниципальные правовые акты,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Количество требований </w:t>
            </w: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прокурора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 xml:space="preserve"> об устранении выявленных в муниципальных правовых актах </w:t>
            </w: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коррупциогенных</w:t>
            </w:r>
            <w:proofErr w:type="spellEnd"/>
            <w:r w:rsidRPr="00210EA1">
              <w:rPr>
                <w:rFonts w:ascii="Arial" w:hAnsi="Arial" w:cs="Arial"/>
                <w:sz w:val="20"/>
                <w:szCs w:val="20"/>
              </w:rPr>
              <w:t xml:space="preserve"> факторов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Удельный вес муниципальных нормативных правовых актов, на которые внесены акты прокурорского реагирования, в общем количестве принятых муниципальных нормативных правовых актов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принятых муниципальных правовых актов о внесении изменений в уставы (далее - изменения в уставы)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изменений в уставы, направленных на приведение уставов в соответствие с требованиями действующего законодательства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изменений в уставы в отчетном году, в отношении которых Главным управлением Министерства юстиции Российской Федерации по Свердловской области приняты решения об отказе в регистрации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Количество решений </w:t>
            </w: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об отказе в регистрации изменений в уставы в отчетном году по каждому из оснований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противоречие </w:t>
            </w:r>
            <w:hyperlink r:id="rId28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Конституции</w:t>
              </w:r>
            </w:hyperlink>
            <w:r w:rsidRPr="00210EA1">
              <w:rPr>
                <w:rFonts w:ascii="Arial" w:hAnsi="Arial" w:cs="Arial"/>
                <w:sz w:val="20"/>
                <w:szCs w:val="20"/>
              </w:rPr>
              <w:t xml:space="preserve"> Российской Федерации, федеральным законам, </w:t>
            </w:r>
            <w:hyperlink r:id="rId29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Уставу</w:t>
              </w:r>
            </w:hyperlink>
            <w:r w:rsidRPr="00210EA1">
              <w:rPr>
                <w:rFonts w:ascii="Arial" w:hAnsi="Arial" w:cs="Arial"/>
                <w:sz w:val="20"/>
                <w:szCs w:val="20"/>
              </w:rPr>
              <w:t xml:space="preserve"> Свердловской области, законам Свердловской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нарушение установленного в соответствии с федеральным законом порядка принятия указанных муниципальных нормативных правовых актов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наличие </w:t>
            </w: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коррупциогенных</w:t>
            </w:r>
            <w:proofErr w:type="spellEnd"/>
            <w:r w:rsidRPr="00210EA1">
              <w:rPr>
                <w:rFonts w:ascii="Arial" w:hAnsi="Arial" w:cs="Arial"/>
                <w:sz w:val="20"/>
                <w:szCs w:val="20"/>
              </w:rPr>
              <w:t xml:space="preserve"> факторов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Удельный вес изменений в уставы в отчетном году, в отношении которых Главным управлением Министерства юстиции Российской Федерации по Свердловской области приняты решения об отказе в регистрации, в общем количестве изменений в уставы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муниципальных нормативных правовых актов, на которые поступили экспертные заключения Правительства Свердловской области с указанием на наличие противоречий федеральному и областному законодательству,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Удельный вес муниципальных нормативных правовых актов, на которые поступили экспертные заключения с указанием на наличие противоречий федеральному и областному законодательству, в общем количестве принятых муниципальных нормативных правовых актов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проектов законов Свердловской области, внесенных в Законодательное Собрание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lastRenderedPageBreak/>
              <w:t>36.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законодательных предложений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законопроектов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принятых законов Свердловской области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Удельный вес принятых законов Свердловской области в общем количестве проектов законов Свердловской области, внесенных в Законодательное Собрание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40.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вступивших в законную силу решений судов о признании муниципальных нормативных правовых актов, принятых в отчетном году, не действующими полностью или в части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41.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Удельный вес муниципальных нормативных правовых актов, в отношении которых вступили в законную силу решения судов о признании муниципальных нормативных правовых актов не действующими полностью или в части, в общем количестве принятых муниципальных нормативных правовых актов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ИНФОРМАЦИОННАЯ КАРТА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УЧАСТНИКА КОНКУРСА В НОМИНАЦИИ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"ГЛАСНОСТЬ И ОТКРЫТОСТЬ ПРЕДСТАВИТЕЛЬНОГО ОРГАНА"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6520"/>
        <w:gridCol w:w="1701"/>
      </w:tblGrid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Номер строки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Показатели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Информация об участнике конкурса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Численность населения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представительного органа муниципального образования (далее - Дума)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Адрес сайта Думы в информационно-телекоммуникационной сети "Интернет"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Период полномочий действующего состава Думы (год избрания, год следующих выборов)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депутатов в Думе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работающих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 xml:space="preserve"> на постоянной основе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повторно избранных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Решения Думы по реализации Федерального </w:t>
            </w:r>
            <w:hyperlink r:id="rId30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закона</w:t>
              </w:r>
            </w:hyperlink>
            <w:r w:rsidRPr="00210EA1">
              <w:rPr>
                <w:rFonts w:ascii="Arial" w:hAnsi="Arial" w:cs="Arial"/>
                <w:sz w:val="20"/>
                <w:szCs w:val="20"/>
              </w:rPr>
              <w:t xml:space="preserve"> "Об обеспечении доступа к информации о деятельности государственных органов и органов местного самоуправления":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 назначении лиц, уполномоченных на предоставление информации о деятельности Думы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lastRenderedPageBreak/>
              <w:t>12.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 порядке приема граждан и рассмотрении их запросов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 порядке ознакомления пользователей с информацией о деятельности Думы в помещениях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 перечне информации о деятельности Думы, размещаемой в информационно-телекоммуникационной сети "Интернет", периодичности ее размещения и сроках обновления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 перечне информации, предоставляемой на бесплатной основе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пунктов подключения к информационно-телекоммуникационной сети "Интернет" в целях обеспечения права неограниченного круга лиц на ознакомление с информацией о деятельности Думы в помещениях органов местного самоуправления, муниципальных библиотеках, других доступных для посещения местах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Регулярность освещения деятельности участника на официальном сайте, или в разделе на официальном сайте администрации муниципального образования, или на официальном портале Свердловской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обратной связи с населением на сайте (в разделе)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Является ли Дума учредителем (соучредителем) муниципальных СМИ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местных СМИ (в том числе электронных)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соглашения с информационными агентствами по освещению деятельности Думы и ее депутатов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Регулярность освещения деятельности Думы и ее депутатов в СМИ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изданных публикаций о деятельности Думы и ее депутатов, их полнота и содержательность, мнения и отзывы граждан, общественных организаций в отчетном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в местных печатных изданиях обратной связи с населением (горячая линия, общественная приемная, другое)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Открытость деятельности Думы в электронных СМИ, наличие специализированных передач (рубрик) в электронных местных (региональных) СМИ (телевидение, радио, информационно-телекоммуникационная сеть "Интернет")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Регулярность выступлений участника в СМИ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общественных советов при органах местного самоуправления и взаимодействие с ними (наименование и вид участия)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Влияние общественности на принятие решений Думы (частота проведения общественных слушаний, обсуждения проектов решений Думы, поправок в бюджет)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Практика проведения отчетов перед населением (частота, формы отчетности, механизм реализации предложений от населения)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lastRenderedPageBreak/>
              <w:t>30.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общественной приемной, механизм работы по реализации замечаний и предложений граждан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Проведение СМИ мероприятий с участием Думы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системы регулярного мониторинга общественного мнения (количество опросов, проведенных в отчетном году, число опрошенных и тематика проводимых опросов)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ИНФОРМАЦИОННАЯ КАРТА </w:t>
      </w:r>
      <w:hyperlink w:anchor="Par568" w:history="1">
        <w:r w:rsidRPr="00210EA1">
          <w:rPr>
            <w:rFonts w:ascii="Courier New" w:hAnsi="Courier New" w:cs="Courier New"/>
            <w:color w:val="0000FF"/>
            <w:sz w:val="20"/>
            <w:szCs w:val="20"/>
          </w:rPr>
          <w:t>&lt;1&gt;</w:t>
        </w:r>
      </w:hyperlink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УЧАСТНИКА КОНКУРСА В НОМИНАЦИИ _____________________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                 (указывается номинация)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6520"/>
        <w:gridCol w:w="1701"/>
      </w:tblGrid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Номер строки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Показатели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Информация об участнике конкурса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Численность населения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представительного органа муниципального образования (далее - Дума)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Период полномочий действующего состава Думы (год избрания, год следующих выборов)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депутатов в Думе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в том числе </w:t>
            </w: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работающие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 xml:space="preserve"> на постоянной основе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Ф.И.О. номинанта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Контактная информация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Должность в Думе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Вид избирательной системы, применявшейся при избрании, и результат голосования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Постоянное место работы (наименование организации, адрес)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Опыт работы в представительных органах (наименование, количество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Опыт работы в данной Думе (занимаемые должности, количество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Информация об образовании (наименование учебного заведения, дата его окончания)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Посещаемость заседаний Думы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Посещаемость заседаний профильного комитета (комиссии) Думы, в состав которого (которой) входит депутат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Работа в составе депутатского объединения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lastRenderedPageBreak/>
              <w:t>18.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Выступления на заседаниях Думы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Выступления на заседаниях профильного комитета (комиссии) Думы, в состав которого (которой) входит депутат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проектов нормативных правовых актов, внесенных на рассмотрение Думы, в том числе совместно с другими депутатами, и количество принятых нормативных правовых актов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Обращения, предложения и запросы, направленные в органы государственной власти, органы местного самоуправления, организации (количество, содержание)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Участие в мероприятиях по повышению квалификации (тема, дата)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наград и поощрений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Работа с населением муниципального образования: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график приема граждан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обращений граждан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обращений граждан, по которым приняты положительные решения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обращений, ставших предметом правотворческой инициативы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периодичность отчетов о своей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проведенных встреч и их регулярность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информированность избирателей о месте и времени проведения встреч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доведение до населения своей позиции по важнейшим вопросам повестки заседаний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предвыборной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выполнение предвыборных обещаний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Главные достижения депутата в период его депутатской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Представленность</w:t>
            </w:r>
            <w:proofErr w:type="spellEnd"/>
            <w:r w:rsidRPr="00210EA1">
              <w:rPr>
                <w:rFonts w:ascii="Arial" w:hAnsi="Arial" w:cs="Arial"/>
                <w:sz w:val="20"/>
                <w:szCs w:val="20"/>
              </w:rPr>
              <w:t xml:space="preserve"> в СМИ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Сообщения в СМИ о деятельности депутата (тема, наименование СМИ)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Публикации депутата в СМИ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Известность среди избирателей (результаты опросов и социологических исследований)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40.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Отзывы граждан о деятельности депутата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--------------------------------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7" w:name="Par568"/>
      <w:bookmarkEnd w:id="7"/>
      <w:r w:rsidRPr="00210EA1">
        <w:rPr>
          <w:rFonts w:ascii="Arial" w:hAnsi="Arial" w:cs="Arial"/>
          <w:sz w:val="20"/>
          <w:szCs w:val="20"/>
        </w:rPr>
        <w:t>&lt;1</w:t>
      </w:r>
      <w:proofErr w:type="gramStart"/>
      <w:r w:rsidRPr="00210EA1">
        <w:rPr>
          <w:rFonts w:ascii="Arial" w:hAnsi="Arial" w:cs="Arial"/>
          <w:sz w:val="20"/>
          <w:szCs w:val="20"/>
        </w:rPr>
        <w:t>&gt; З</w:t>
      </w:r>
      <w:proofErr w:type="gramEnd"/>
      <w:r w:rsidRPr="00210EA1">
        <w:rPr>
          <w:rFonts w:ascii="Arial" w:hAnsi="Arial" w:cs="Arial"/>
          <w:sz w:val="20"/>
          <w:szCs w:val="20"/>
        </w:rPr>
        <w:t>аполняется в случае, если участником конкурса является депутат представительного органа.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ИНФОРМАЦИОННАЯ КАРТА </w:t>
      </w:r>
      <w:hyperlink w:anchor="Par678" w:history="1">
        <w:r w:rsidRPr="00210EA1">
          <w:rPr>
            <w:rFonts w:ascii="Courier New" w:hAnsi="Courier New" w:cs="Courier New"/>
            <w:color w:val="0000FF"/>
            <w:sz w:val="20"/>
            <w:szCs w:val="20"/>
          </w:rPr>
          <w:t>&lt;1&gt;</w:t>
        </w:r>
      </w:hyperlink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УЧАСТНИКА КОНКУРСА В НОМИНАЦИИ _______________________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  <w:r w:rsidRPr="00210EA1">
        <w:rPr>
          <w:rFonts w:ascii="Courier New" w:hAnsi="Courier New" w:cs="Courier New"/>
          <w:sz w:val="20"/>
          <w:szCs w:val="20"/>
        </w:rPr>
        <w:t xml:space="preserve">                                         (указывается номинация)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6520"/>
        <w:gridCol w:w="1701"/>
      </w:tblGrid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Номер строки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Показатели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Информация об участнике конкурса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Численность населения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Наименование представительного органа муниципального образования (далее - Дума)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депутатов в Думе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в том числе </w:t>
            </w: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работающих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 xml:space="preserve"> на постоянной основе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муниципальных служащих, обеспечивающих исполнение полномочий представительного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Ф.И.О.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Контактная информация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Должность муниципальной службы, замещаемая участником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Опыт работы в органах государственной власти и органах местного самоуправления (наименование, количество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Опыт работы в данной Думе (занимаемые должности, количество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Основное образование участника (наименование учебного заведения, дата его окончания)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дополнительного высшего профессионального образования (наименование учебного заведения, дата его окончания)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у участника публикаций по проблемам местного самоуправления или по вопросам, решение которых входит в компетенцию участника по замещаемой им должности муниципальной службы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Уровень владения информационными технологиями (не владею, базовые знания, продвинутый пользователь, эксперт)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Участие в мероприятиях по профессиональной подготовке, переподготовке, повышению квалификации и стажировке (тема, дата):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участие в семинарах по направлению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прохождение стажировки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обучение на курсах повышения квалификации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lastRenderedPageBreak/>
              <w:t>20.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Результат прохождения аттестации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Классный чин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Основные функции и обязанности участника по замещаемой должности муниципальной службы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Реализованные проекты с учетом их объема и сложности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Перечень координационных, консультативных, совещательных и иных рабочих органов, в которых участник принимал 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Предложения участника по совершенствованию деятельности Думы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самостоятельно подготовленных проектов муниципальных правовых актов, заключений, иных документов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Перечень основных вопросов (документов), в решении (разработке) которых участник принимал 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Количество своевременно рассмотренных в пределах своих должностных обязанностей обращений граждан, организаций, органов власти и подготовленных на них ответов в установленном законодательством порядке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29.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Количество мероприятий, организованных участником в рамках осуществления своих полномочий - конференции, совещания, "круглые столы" и другое (описать последние три мероприятия - форма, тема, количество участников, роль участника)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Отзывы руководителей, граждан, организаций о деятельности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Наличие наград и поощрений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0EA1" w:rsidRPr="00210EA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32.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Три основных достижения участника за последние два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--------------------------------</w:t>
      </w:r>
    </w:p>
    <w:p w:rsidR="00210EA1" w:rsidRPr="00210EA1" w:rsidRDefault="00210EA1" w:rsidP="00210EA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8" w:name="Par678"/>
      <w:bookmarkEnd w:id="8"/>
      <w:r w:rsidRPr="00210EA1">
        <w:rPr>
          <w:rFonts w:ascii="Arial" w:hAnsi="Arial" w:cs="Arial"/>
          <w:sz w:val="20"/>
          <w:szCs w:val="20"/>
        </w:rPr>
        <w:t>&lt;1</w:t>
      </w:r>
      <w:proofErr w:type="gramStart"/>
      <w:r w:rsidRPr="00210EA1">
        <w:rPr>
          <w:rFonts w:ascii="Arial" w:hAnsi="Arial" w:cs="Arial"/>
          <w:sz w:val="20"/>
          <w:szCs w:val="20"/>
        </w:rPr>
        <w:t>&gt; З</w:t>
      </w:r>
      <w:proofErr w:type="gramEnd"/>
      <w:r w:rsidRPr="00210EA1">
        <w:rPr>
          <w:rFonts w:ascii="Arial" w:hAnsi="Arial" w:cs="Arial"/>
          <w:sz w:val="20"/>
          <w:szCs w:val="20"/>
        </w:rPr>
        <w:t>аполняется в случае, если участником конкурса является муниципальный служащий, обеспечивающий исполнение полномочий представительного органа.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Утвержден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Постановлением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Законодательного Собрания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10EA1">
        <w:rPr>
          <w:rFonts w:ascii="Arial" w:hAnsi="Arial" w:cs="Arial"/>
          <w:sz w:val="20"/>
          <w:szCs w:val="20"/>
        </w:rPr>
        <w:t>от 3 декабря 2013 г. N 1317-ПЗС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bookmarkStart w:id="9" w:name="Par689"/>
      <w:bookmarkEnd w:id="9"/>
      <w:r w:rsidRPr="00210EA1">
        <w:rPr>
          <w:rFonts w:ascii="Arial" w:hAnsi="Arial" w:cs="Arial"/>
          <w:b/>
          <w:bCs/>
          <w:sz w:val="20"/>
          <w:szCs w:val="20"/>
        </w:rPr>
        <w:t>СОСТАВ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ОРГАНИЗАЦИОННОГО КОМИТЕТА ПО ПРОВЕДЕНИЮ КОНКУРСА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ПРЕДСТАВИТЕЛЬНЫХ ОРГАНОВ МУНИЦИПАЛЬНЫХ ОБРАЗОВАНИЙ,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proofErr w:type="gramStart"/>
      <w:r w:rsidRPr="00210EA1">
        <w:rPr>
          <w:rFonts w:ascii="Arial" w:hAnsi="Arial" w:cs="Arial"/>
          <w:b/>
          <w:bCs/>
          <w:sz w:val="20"/>
          <w:szCs w:val="20"/>
        </w:rPr>
        <w:t>РАСПОЛОЖЕННЫХ</w:t>
      </w:r>
      <w:proofErr w:type="gramEnd"/>
      <w:r w:rsidRPr="00210EA1">
        <w:rPr>
          <w:rFonts w:ascii="Arial" w:hAnsi="Arial" w:cs="Arial"/>
          <w:b/>
          <w:bCs/>
          <w:sz w:val="20"/>
          <w:szCs w:val="20"/>
        </w:rPr>
        <w:t xml:space="preserve"> НА ТЕРРИТОРИИ СВЕРДЛОВСКОЙ ОБЛАСТИ,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210EA1">
        <w:rPr>
          <w:rFonts w:ascii="Arial" w:hAnsi="Arial" w:cs="Arial"/>
          <w:b/>
          <w:bCs/>
          <w:sz w:val="20"/>
          <w:szCs w:val="20"/>
        </w:rPr>
        <w:t>ПОСВЯЩЕННОГО ДНЮ МЕСТНОГО САМОУПРАВЛЕНИЯ</w:t>
      </w: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921"/>
        <w:gridCol w:w="113"/>
      </w:tblGrid>
      <w:tr w:rsidR="00210EA1" w:rsidRPr="00210E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Список изменяющих документов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lastRenderedPageBreak/>
              <w:t>(в ред. Постановлений Законодательного Собрания Свердловской области</w:t>
            </w:r>
            <w:proofErr w:type="gram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29.10.2019 </w:t>
            </w:r>
            <w:hyperlink r:id="rId31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2107-ПЗС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20.04.2021 </w:t>
            </w:r>
            <w:hyperlink r:id="rId32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3133-ПЗС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07.12.2021 </w:t>
            </w:r>
            <w:hyperlink r:id="rId33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219-ПЗС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,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22.02.2023 </w:t>
            </w:r>
            <w:hyperlink r:id="rId34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1045-ПЗС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19.12.2023 </w:t>
            </w:r>
            <w:hyperlink r:id="rId35" w:history="1">
              <w:r w:rsidRPr="00210EA1">
                <w:rPr>
                  <w:rFonts w:ascii="Arial" w:hAnsi="Arial" w:cs="Arial"/>
                  <w:color w:val="0000FF"/>
                  <w:sz w:val="20"/>
                  <w:szCs w:val="20"/>
                </w:rPr>
                <w:t>N 1621-ПЗС</w:t>
              </w:r>
            </w:hyperlink>
            <w:r w:rsidRPr="00210EA1">
              <w:rPr>
                <w:rFonts w:ascii="Arial" w:hAnsi="Arial" w:cs="Arial"/>
                <w:color w:val="392C69"/>
                <w:sz w:val="20"/>
                <w:szCs w:val="20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551"/>
        <w:gridCol w:w="340"/>
        <w:gridCol w:w="6180"/>
      </w:tblGrid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Зубарев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Михаил Валерьевич</w:t>
            </w:r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председатель комитета Законодательного Собрания по региональной политике и развитию местного самоуправления, председатель организационного комитета;</w:t>
            </w:r>
          </w:p>
        </w:tc>
      </w:tr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Якимов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Виктор Васильевич</w:t>
            </w:r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представитель комитета Законодательного Собрания по региональной политике и развитию местного самоуправления, заместитель председателя Законодательного Собрания, заместитель председателя организационного комитета;</w:t>
            </w:r>
          </w:p>
        </w:tc>
      </w:tr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Бучельникова</w:t>
            </w:r>
            <w:proofErr w:type="spell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Ирина Владиславовна</w:t>
            </w:r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руководитель пресс-службы Законодательного Собрания;</w:t>
            </w:r>
          </w:p>
        </w:tc>
      </w:tr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Ерченко</w:t>
            </w:r>
            <w:proofErr w:type="spell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Ирина Геннадьевна</w:t>
            </w:r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и.о. заведующего отделом по обеспечению </w:t>
            </w: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контроля за</w:t>
            </w:r>
            <w:proofErr w:type="gramEnd"/>
            <w:r w:rsidRPr="00210EA1">
              <w:rPr>
                <w:rFonts w:ascii="Arial" w:hAnsi="Arial" w:cs="Arial"/>
                <w:sz w:val="20"/>
                <w:szCs w:val="20"/>
              </w:rPr>
              <w:t xml:space="preserve"> соблюдением областного законодательства и взаимодействия с органами местного самоуправления аппарата Законодательного Собрания;</w:t>
            </w:r>
          </w:p>
        </w:tc>
      </w:tr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Рябкова</w:t>
            </w:r>
            <w:proofErr w:type="spell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Ирина Николаевна</w:t>
            </w:r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начальник управления материально-технического обеспечения аппарата Законодательного Собрания;</w:t>
            </w:r>
          </w:p>
        </w:tc>
      </w:tr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Соколюк</w:t>
            </w:r>
            <w:proofErr w:type="spell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Петр Михайлович</w:t>
            </w:r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председатель комитета Законодательного Собрания по бюджету, финансам и налогам;</w:t>
            </w:r>
          </w:p>
        </w:tc>
      </w:tr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10EA1">
              <w:rPr>
                <w:rFonts w:ascii="Arial" w:hAnsi="Arial" w:cs="Arial"/>
                <w:sz w:val="20"/>
                <w:szCs w:val="20"/>
              </w:rPr>
              <w:t>Хазов</w:t>
            </w:r>
            <w:proofErr w:type="gramEnd"/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 xml:space="preserve">Борис </w:t>
            </w:r>
            <w:proofErr w:type="spellStart"/>
            <w:r w:rsidRPr="00210EA1">
              <w:rPr>
                <w:rFonts w:ascii="Arial" w:hAnsi="Arial" w:cs="Arial"/>
                <w:sz w:val="20"/>
                <w:szCs w:val="20"/>
              </w:rPr>
              <w:t>Владиленович</w:t>
            </w:r>
            <w:proofErr w:type="spellEnd"/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заведующий отделом информационных технологий аппарата Законодательного Собрания;</w:t>
            </w:r>
          </w:p>
        </w:tc>
      </w:tr>
      <w:tr w:rsidR="00210EA1" w:rsidRPr="00210EA1">
        <w:tc>
          <w:tcPr>
            <w:tcW w:w="2551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Шишкин</w:t>
            </w:r>
          </w:p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Дмитрий Александрович</w:t>
            </w:r>
          </w:p>
        </w:tc>
        <w:tc>
          <w:tcPr>
            <w:tcW w:w="34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80" w:type="dxa"/>
          </w:tcPr>
          <w:p w:rsidR="00210EA1" w:rsidRPr="00210EA1" w:rsidRDefault="00210EA1" w:rsidP="00210EA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10EA1">
              <w:rPr>
                <w:rFonts w:ascii="Arial" w:hAnsi="Arial" w:cs="Arial"/>
                <w:sz w:val="20"/>
                <w:szCs w:val="20"/>
              </w:rPr>
              <w:t>начальник информационно-аналитического управления аппарата Законодательного Собрания.</w:t>
            </w:r>
          </w:p>
        </w:tc>
      </w:tr>
    </w:tbl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0EA1" w:rsidRPr="00210EA1" w:rsidRDefault="00210EA1" w:rsidP="00210EA1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Arial" w:hAnsi="Arial" w:cs="Arial"/>
          <w:sz w:val="2"/>
          <w:szCs w:val="2"/>
        </w:rPr>
      </w:pPr>
    </w:p>
    <w:p w:rsidR="00F7472A" w:rsidRDefault="00F7472A"/>
    <w:sectPr w:rsidR="00F7472A" w:rsidSect="001C6309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0EA1"/>
    <w:rsid w:val="00210EA1"/>
    <w:rsid w:val="00F74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02078&amp;dst=100005" TargetMode="External"/><Relationship Id="rId13" Type="http://schemas.openxmlformats.org/officeDocument/2006/relationships/hyperlink" Target="https://login.consultant.ru/link/?req=doc&amp;base=RLAW071&amp;n=262674&amp;dst=100005" TargetMode="External"/><Relationship Id="rId18" Type="http://schemas.openxmlformats.org/officeDocument/2006/relationships/hyperlink" Target="https://login.consultant.ru/link/?req=doc&amp;base=RLAW071&amp;n=188909&amp;dst=100008" TargetMode="External"/><Relationship Id="rId26" Type="http://schemas.openxmlformats.org/officeDocument/2006/relationships/hyperlink" Target="https://login.consultant.ru/link/?req=doc&amp;base=RLAW071&amp;n=265929&amp;dst=10000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LAW071&amp;n=365741" TargetMode="External"/><Relationship Id="rId34" Type="http://schemas.openxmlformats.org/officeDocument/2006/relationships/hyperlink" Target="https://login.consultant.ru/link/?req=doc&amp;base=RLAW071&amp;n=346947&amp;dst=100005" TargetMode="External"/><Relationship Id="rId7" Type="http://schemas.openxmlformats.org/officeDocument/2006/relationships/hyperlink" Target="https://login.consultant.ru/link/?req=doc&amp;base=RLAW071&amp;n=265929&amp;dst=100005" TargetMode="External"/><Relationship Id="rId12" Type="http://schemas.openxmlformats.org/officeDocument/2006/relationships/hyperlink" Target="https://login.consultant.ru/link/?req=doc&amp;base=RLAW071&amp;n=188909&amp;dst=100005" TargetMode="External"/><Relationship Id="rId17" Type="http://schemas.openxmlformats.org/officeDocument/2006/relationships/hyperlink" Target="https://login.consultant.ru/link/?req=doc&amp;base=RLAW071&amp;n=188909&amp;dst=100006" TargetMode="External"/><Relationship Id="rId25" Type="http://schemas.openxmlformats.org/officeDocument/2006/relationships/hyperlink" Target="https://login.consultant.ru/link/?req=doc&amp;base=RLAW071&amp;n=265929&amp;dst=100006" TargetMode="External"/><Relationship Id="rId33" Type="http://schemas.openxmlformats.org/officeDocument/2006/relationships/hyperlink" Target="https://login.consultant.ru/link/?req=doc&amp;base=RLAW071&amp;n=317679&amp;dst=10000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366607&amp;dst=100005" TargetMode="External"/><Relationship Id="rId20" Type="http://schemas.openxmlformats.org/officeDocument/2006/relationships/hyperlink" Target="https://login.consultant.ru/link/?req=doc&amp;base=RLAW071&amp;n=343181" TargetMode="External"/><Relationship Id="rId29" Type="http://schemas.openxmlformats.org/officeDocument/2006/relationships/hyperlink" Target="https://login.consultant.ru/link/?req=doc&amp;base=RLAW071&amp;n=343181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262674&amp;dst=100005" TargetMode="External"/><Relationship Id="rId11" Type="http://schemas.openxmlformats.org/officeDocument/2006/relationships/hyperlink" Target="https://login.consultant.ru/link/?req=doc&amp;base=RLAW071&amp;n=366607&amp;dst=100005" TargetMode="External"/><Relationship Id="rId24" Type="http://schemas.openxmlformats.org/officeDocument/2006/relationships/hyperlink" Target="https://login.consultant.ru/link/?req=doc&amp;base=RLAW071&amp;n=366607&amp;dst=100006" TargetMode="External"/><Relationship Id="rId32" Type="http://schemas.openxmlformats.org/officeDocument/2006/relationships/hyperlink" Target="https://login.consultant.ru/link/?req=doc&amp;base=RLAW071&amp;n=302078&amp;dst=100008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login.consultant.ru/link/?req=doc&amp;base=RLAW071&amp;n=188909&amp;dst=100005" TargetMode="External"/><Relationship Id="rId15" Type="http://schemas.openxmlformats.org/officeDocument/2006/relationships/hyperlink" Target="https://login.consultant.ru/link/?req=doc&amp;base=RLAW071&amp;n=302078&amp;dst=100005" TargetMode="External"/><Relationship Id="rId23" Type="http://schemas.openxmlformats.org/officeDocument/2006/relationships/hyperlink" Target="https://login.consultant.ru/link/?req=doc&amp;base=RLAW071&amp;n=302078&amp;dst=100006" TargetMode="External"/><Relationship Id="rId28" Type="http://schemas.openxmlformats.org/officeDocument/2006/relationships/hyperlink" Target="https://login.consultant.ru/link/?req=doc&amp;base=LAW&amp;n=2875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RLAW071&amp;n=346947&amp;dst=100005" TargetMode="External"/><Relationship Id="rId19" Type="http://schemas.openxmlformats.org/officeDocument/2006/relationships/hyperlink" Target="https://login.consultant.ru/link/?req=doc&amp;base=LAW&amp;n=2875" TargetMode="External"/><Relationship Id="rId31" Type="http://schemas.openxmlformats.org/officeDocument/2006/relationships/hyperlink" Target="https://login.consultant.ru/link/?req=doc&amp;base=RLAW071&amp;n=262674&amp;dst=100007" TargetMode="External"/><Relationship Id="rId4" Type="http://schemas.openxmlformats.org/officeDocument/2006/relationships/hyperlink" Target="https://login.consultant.ru/link/?req=doc&amp;base=RLAW071&amp;n=143774&amp;dst=100005" TargetMode="External"/><Relationship Id="rId9" Type="http://schemas.openxmlformats.org/officeDocument/2006/relationships/hyperlink" Target="https://login.consultant.ru/link/?req=doc&amp;base=RLAW071&amp;n=317679&amp;dst=100005" TargetMode="External"/><Relationship Id="rId14" Type="http://schemas.openxmlformats.org/officeDocument/2006/relationships/hyperlink" Target="https://login.consultant.ru/link/?req=doc&amp;base=RLAW071&amp;n=265929&amp;dst=100005" TargetMode="External"/><Relationship Id="rId22" Type="http://schemas.openxmlformats.org/officeDocument/2006/relationships/hyperlink" Target="https://login.consultant.ru/link/?req=doc&amp;base=LAW&amp;n=422007" TargetMode="External"/><Relationship Id="rId27" Type="http://schemas.openxmlformats.org/officeDocument/2006/relationships/hyperlink" Target="https://login.consultant.ru/link/?req=doc&amp;base=RLAW071&amp;n=188909&amp;dst=100014" TargetMode="External"/><Relationship Id="rId30" Type="http://schemas.openxmlformats.org/officeDocument/2006/relationships/hyperlink" Target="https://login.consultant.ru/link/?req=doc&amp;base=LAW&amp;n=422007" TargetMode="External"/><Relationship Id="rId35" Type="http://schemas.openxmlformats.org/officeDocument/2006/relationships/hyperlink" Target="https://login.consultant.ru/link/?req=doc&amp;base=RLAW071&amp;n=366607&amp;dst=1000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6127</Words>
  <Characters>34929</Characters>
  <Application>Microsoft Office Word</Application>
  <DocSecurity>0</DocSecurity>
  <Lines>291</Lines>
  <Paragraphs>81</Paragraphs>
  <ScaleCrop>false</ScaleCrop>
  <Company/>
  <LinksUpToDate>false</LinksUpToDate>
  <CharactersWithSpaces>40975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shna</dc:creator>
  <cp:lastModifiedBy>shna</cp:lastModifiedBy>
  <cp:revision>2</cp:revision>
  <dcterms:created xsi:type="dcterms:W3CDTF">2024-01-24T11:33:00Z</dcterms:created>
  <dcterms:modified xsi:type="dcterms:W3CDTF">2024-01-24T11:33:00Z</dcterms:modified>
</cp:coreProperties>
</file>